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-415290</wp:posOffset>
                </wp:positionH>
                <wp:positionV relativeFrom="paragraph">
                  <wp:posOffset>-358140</wp:posOffset>
                </wp:positionV>
                <wp:extent cx="673735" cy="438150"/>
                <wp:effectExtent l="635" t="635" r="29845" b="10795"/>
                <wp:wrapNone/>
                <wp:docPr id="1026" name="AutoShape 12"/>
                <a:graphic xmlns:a="http://schemas.openxmlformats.org/drawingml/2006/main">
                  <a:graphicData uri="http://schemas.microsoft.com/office/word/2010/wordprocessingShape">
                    <wps:wsp>
                      <wps:cNvPr id="1026" name="AutoShape 12"/>
                      <wps:cNvSpPr>
                        <a:spLocks noChangeArrowheads="1"/>
                      </wps:cNvSpPr>
                      <wps:spPr>
                        <a:xfrm>
                          <a:off x="0" y="0"/>
                          <a:ext cx="673735" cy="438150"/>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回覧</w:t>
                            </w:r>
                          </w:p>
                        </w:txbxContent>
                      </wps:txbx>
                      <wps:bodyPr rot="0" vertOverflow="overflow" horzOverflow="overflow" wrap="square" lIns="74295" tIns="8890" rIns="74295" bIns="8890" anchor="t" anchorCtr="0" upright="1"/>
                    </wps:wsp>
                  </a:graphicData>
                </a:graphic>
              </wp:anchor>
            </w:drawing>
          </mc:Choice>
          <mc:Fallback>
            <w:pict>
              <v:roundrect id="AutoShape 12" style="mso-wrap-distance-right:9pt;mso-wrap-distance-bottom:0pt;margin-top:-28.2pt;mso-position-vertical-relative:text;mso-position-horizontal-relative:text;v-text-anchor:top;position:absolute;height:34.5pt;mso-wrap-distance-top:0pt;width:53.05pt;mso-wrap-distance-left:9pt;margin-left:-32.700000000000003pt;z-index:7;" o:spid="_x0000_s1026"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回覧</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77470</wp:posOffset>
                </wp:positionH>
                <wp:positionV relativeFrom="paragraph">
                  <wp:posOffset>-306070</wp:posOffset>
                </wp:positionV>
                <wp:extent cx="6417945" cy="474980"/>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a:spLocks noChangeArrowheads="1"/>
                      </wps:cNvSpPr>
                      <wps:spPr>
                        <a:xfrm>
                          <a:off x="0" y="0"/>
                          <a:ext cx="6417945" cy="474980"/>
                        </a:xfrm>
                        <a:prstGeom prst="rect">
                          <a:avLst/>
                        </a:prstGeom>
                        <a:noFill/>
                        <a:ln>
                          <a:noFill/>
                        </a:ln>
                      </wps:spPr>
                      <wps:txbx>
                        <w:txbxContent>
                          <w:p>
                            <w:pPr>
                              <w:pStyle w:val="0"/>
                              <w:jc w:val="center"/>
                              <w:rPr>
                                <w:rFonts w:hint="default" w:eastAsia="HG丸ｺﾞｼｯｸM-PRO"/>
                                <w:b w:val="1"/>
                                <w:sz w:val="40"/>
                              </w:rPr>
                            </w:pPr>
                            <w:r>
                              <w:rPr>
                                <w:rFonts w:hint="eastAsia" w:eastAsia="HG丸ｺﾞｼｯｸM-PRO"/>
                                <w:b w:val="1"/>
                                <w:sz w:val="40"/>
                              </w:rPr>
                              <w:t>事業費の５０％を助成します！（上限５０万円）</w:t>
                            </w:r>
                          </w:p>
                        </w:txbxContent>
                      </wps:txbx>
                      <wps:bodyPr rot="0" vertOverflow="overflow" horzOverflow="overflow" wrap="square" lIns="74295" tIns="8890" rIns="74295" bIns="889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4.1pt;mso-position-vertical-relative:text;mso-position-horizontal-relative:text;v-text-anchor:top;position:absolute;height:37.4pt;mso-wrap-distance-top:0pt;width:505.35pt;mso-wrap-distance-left:9pt;margin-left:6.1pt;z-index:4;" o:spid="_x0000_s1027" o:allowincell="t" o:allowoverlap="t" filled="f" stroked="f" o:spt="202" type="#_x0000_t202">
                <v:fill/>
                <v:textbox style="layout-flow:horizontal;mso-fit-shape-to-text:t;" inset="2.0637499999999998mm,0.24694444444444438mm,2.0637499999999998mm,0.24694444444444438mm">
                  <w:txbxContent>
                    <w:p>
                      <w:pPr>
                        <w:pStyle w:val="0"/>
                        <w:jc w:val="center"/>
                        <w:rPr>
                          <w:rFonts w:hint="default" w:eastAsia="HG丸ｺﾞｼｯｸM-PRO"/>
                          <w:b w:val="1"/>
                          <w:sz w:val="40"/>
                        </w:rPr>
                      </w:pPr>
                      <w:r>
                        <w:rPr>
                          <w:rFonts w:hint="eastAsia" w:eastAsia="HG丸ｺﾞｼｯｸM-PRO"/>
                          <w:b w:val="1"/>
                          <w:sz w:val="40"/>
                        </w:rPr>
                        <w:t>事業費の５０％を助成します！（上限５０万円）</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-339725</wp:posOffset>
                </wp:positionH>
                <wp:positionV relativeFrom="paragraph">
                  <wp:posOffset>-57150</wp:posOffset>
                </wp:positionV>
                <wp:extent cx="6942455" cy="922020"/>
                <wp:effectExtent l="0" t="0" r="635" b="635"/>
                <wp:wrapNone/>
                <wp:docPr id="1028" name="テキスト ボックス 6"/>
                <a:graphic xmlns:a="http://schemas.openxmlformats.org/drawingml/2006/main">
                  <a:graphicData uri="http://schemas.microsoft.com/office/word/2010/wordprocessingShape">
                    <wps:wsp>
                      <wps:cNvPr id="1028" name="テキスト ボックス 6"/>
                      <wps:cNvSpPr txBox="1">
                        <a:spLocks noChangeArrowheads="1"/>
                      </wps:cNvSpPr>
                      <wps:spPr>
                        <a:xfrm>
                          <a:off x="0" y="0"/>
                          <a:ext cx="6942455" cy="922020"/>
                        </a:xfrm>
                        <a:prstGeom prst="rect">
                          <a:avLst/>
                        </a:prstGeom>
                        <a:noFill/>
                        <a:ln>
                          <a:noFill/>
                        </a:ln>
                      </wps:spPr>
                      <wps:txbx>
                        <w:txbxContent>
                          <w:p>
                            <w:pPr>
                              <w:pStyle w:val="0"/>
                              <w:jc w:val="center"/>
                              <w:rPr>
                                <w:rFonts w:hint="default" w:ascii="平成角ｺﾞｼｯｸ体W5P" w:hAnsi="平成角ｺﾞｼｯｸ体W5P" w:eastAsia="平成角ｺﾞｼｯｸ体W5P"/>
                                <w:b w:val="1"/>
                                <w:caps w:val="1"/>
                                <w:sz w:val="88"/>
                              </w:rPr>
                            </w:pPr>
                            <w:r>
                              <w:rPr>
                                <w:rFonts w:hint="eastAsia" w:ascii="メイリオ" w:hAnsi="メイリオ" w:eastAsia="メイリオ"/>
                                <w:b w:val="1"/>
                                <w:caps w:val="1"/>
                                <w:color w:val="002060"/>
                                <w:sz w:val="88"/>
                              </w:rPr>
                              <w:t>空家等除却補助金交付事業</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4.5pt;mso-position-vertical-relative:text;mso-position-horizontal-relative:text;v-text-anchor:top;position:absolute;height:72.59pt;mso-wrap-distance-top:0pt;width:546.65pt;mso-wrap-distance-left:9pt;margin-left:-26.75pt;z-index:6;" o:spid="_x0000_s1028" o:allowincell="t" o:allowoverlap="t" filled="f" stroked="f" o:spt="202" type="#_x0000_t202">
                <v:fill/>
                <v:textbox style="layout-flow:horizontal;" inset="2.0637499999999998mm,0.24694444444444438mm,2.0637499999999998mm,0.24694444444444438mm">
                  <w:txbxContent>
                    <w:p>
                      <w:pPr>
                        <w:pStyle w:val="0"/>
                        <w:jc w:val="center"/>
                        <w:rPr>
                          <w:rFonts w:hint="default" w:ascii="平成角ｺﾞｼｯｸ体W5P" w:hAnsi="平成角ｺﾞｼｯｸ体W5P" w:eastAsia="平成角ｺﾞｼｯｸ体W5P"/>
                          <w:b w:val="1"/>
                          <w:caps w:val="1"/>
                          <w:sz w:val="88"/>
                        </w:rPr>
                      </w:pPr>
                      <w:r>
                        <w:rPr>
                          <w:rFonts w:hint="eastAsia" w:ascii="メイリオ" w:hAnsi="メイリオ" w:eastAsia="メイリオ"/>
                          <w:b w:val="1"/>
                          <w:caps w:val="1"/>
                          <w:color w:val="002060"/>
                          <w:sz w:val="88"/>
                        </w:rPr>
                        <w:t>空家等除却補助金交付事業</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 behindDoc="1" locked="0" layoutInCell="1" hidden="0" allowOverlap="1">
                <wp:simplePos x="0" y="0"/>
                <wp:positionH relativeFrom="column">
                  <wp:posOffset>3521710</wp:posOffset>
                </wp:positionH>
                <wp:positionV relativeFrom="paragraph">
                  <wp:posOffset>151765</wp:posOffset>
                </wp:positionV>
                <wp:extent cx="3081020" cy="2000250"/>
                <wp:effectExtent l="635" t="635" r="29845" b="10795"/>
                <wp:wrapNone/>
                <wp:docPr id="1029" name="テキスト ボックス 10"/>
                <a:graphic xmlns:a="http://schemas.openxmlformats.org/drawingml/2006/main">
                  <a:graphicData uri="http://schemas.microsoft.com/office/word/2010/wordprocessingShape">
                    <wps:wsp>
                      <wps:cNvPr id="1029" name="テキスト ボックス 10"/>
                      <wps:cNvSpPr txBox="1"/>
                      <wps:spPr>
                        <a:xfrm>
                          <a:off x="0" y="0"/>
                          <a:ext cx="3081020" cy="2000250"/>
                        </a:xfrm>
                        <a:prstGeom prst="rect">
                          <a:avLst/>
                        </a:prstGeom>
                        <a:solidFill>
                          <a:sysClr val="window" lastClr="FFFFFF"/>
                        </a:solidFill>
                        <a:ln w="6350">
                          <a:solidFill>
                            <a:sysClr val="window" lastClr="FFFFFF"/>
                          </a:solidFill>
                        </a:ln>
                        <a:effectLst/>
                      </wps:spPr>
                      <wps:txbx>
                        <w:txbxContent>
                          <w:p>
                            <w:pPr>
                              <w:pStyle w:val="0"/>
                              <w:rPr>
                                <w:rFonts w:hint="default" w:ascii="平成角ｺﾞｼｯｸ体W5P" w:hAnsi="平成角ｺﾞｼｯｸ体W5P" w:eastAsia="平成角ｺﾞｼｯｸ体W5P"/>
                                <w:b w:val="1"/>
                                <w:sz w:val="56"/>
                              </w:rPr>
                            </w:pPr>
                            <w:r>
                              <w:rPr>
                                <w:rFonts w:hint="eastAsia" w:ascii="平成角ｺﾞｼｯｸ体W5P" w:hAnsi="平成角ｺﾞｼｯｸ体W5P" w:eastAsia="平成角ｺﾞｼｯｸ体W5P"/>
                                <w:b w:val="1"/>
                                <w:sz w:val="56"/>
                              </w:rPr>
                              <w:t>が延長されます</w:t>
                            </w:r>
                            <w:r>
                              <w:rPr>
                                <w:rFonts w:hint="eastAsia" w:ascii="平成角ｺﾞｼｯｸ体W5P" w:hAnsi="平成角ｺﾞｼｯｸ体W5P" w:eastAsia="平成角ｺﾞｼｯｸ体W5P"/>
                                <w:b w:val="1"/>
                                <w:sz w:val="56"/>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11.95pt;mso-position-vertical-relative:text;mso-position-horizontal-relative:text;v-text-anchor:top;position:absolute;height:157.5pt;mso-wrap-distance-top:0pt;width:242.6pt;mso-wrap-distance-left:9pt;margin-left:277.3pt;z-index:-503316472;" o:spid="_x0000_s1029" o:allowincell="t" o:allowoverlap="t" filled="t" fillcolor="#ffffff" stroked="t" strokecolor="#ffffff" strokeweight="0.5pt" o:spt="202" type="#_x0000_t202">
                <v:fill/>
                <v:stroke filltype="solid"/>
                <v:textbox style="layout-flow:horizontal;">
                  <w:txbxContent>
                    <w:p>
                      <w:pPr>
                        <w:pStyle w:val="0"/>
                        <w:rPr>
                          <w:rFonts w:hint="default" w:ascii="平成角ｺﾞｼｯｸ体W5P" w:hAnsi="平成角ｺﾞｼｯｸ体W5P" w:eastAsia="平成角ｺﾞｼｯｸ体W5P"/>
                          <w:b w:val="1"/>
                          <w:sz w:val="56"/>
                        </w:rPr>
                      </w:pPr>
                      <w:r>
                        <w:rPr>
                          <w:rFonts w:hint="eastAsia" w:ascii="平成角ｺﾞｼｯｸ体W5P" w:hAnsi="平成角ｺﾞｼｯｸ体W5P" w:eastAsia="平成角ｺﾞｼｯｸ体W5P"/>
                          <w:b w:val="1"/>
                          <w:sz w:val="56"/>
                        </w:rPr>
                        <w:t>が延長されます</w:t>
                      </w:r>
                      <w:r>
                        <w:rPr>
                          <w:rFonts w:hint="eastAsia" w:ascii="平成角ｺﾞｼｯｸ体W5P" w:hAnsi="平成角ｺﾞｼｯｸ体W5P" w:eastAsia="平成角ｺﾞｼｯｸ体W5P"/>
                          <w:b w:val="1"/>
                          <w:sz w:val="56"/>
                        </w:rPr>
                        <w:t>!!</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-17780</wp:posOffset>
                </wp:positionH>
                <wp:positionV relativeFrom="paragraph">
                  <wp:posOffset>50165</wp:posOffset>
                </wp:positionV>
                <wp:extent cx="6143625" cy="2327910"/>
                <wp:effectExtent l="0" t="0" r="635" b="635"/>
                <wp:wrapNone/>
                <wp:docPr id="1030" name="テキスト ボックス 1"/>
                <a:graphic xmlns:a="http://schemas.openxmlformats.org/drawingml/2006/main">
                  <a:graphicData uri="http://schemas.microsoft.com/office/word/2010/wordprocessingShape">
                    <wps:wsp>
                      <wps:cNvPr id="1030" name="テキスト ボックス 1"/>
                      <wps:cNvSpPr txBox="1">
                        <a:spLocks noChangeArrowheads="1"/>
                      </wps:cNvSpPr>
                      <wps:spPr>
                        <a:xfrm>
                          <a:off x="0" y="0"/>
                          <a:ext cx="6143625" cy="2327910"/>
                        </a:xfrm>
                        <a:prstGeom prst="rect">
                          <a:avLst/>
                        </a:prstGeom>
                        <a:noFill/>
                        <a:ln>
                          <a:noFill/>
                        </a:ln>
                      </wps:spPr>
                      <wps:txbx>
                        <w:txbxContent>
                          <w:p>
                            <w:pPr>
                              <w:pStyle w:val="0"/>
                              <w:spacing w:line="44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b w:val="1"/>
                                <w:sz w:val="36"/>
                              </w:rPr>
                              <w:t>　</w:t>
                            </w:r>
                            <w:r>
                              <w:rPr>
                                <w:rFonts w:hint="eastAsia" w:ascii="HG丸ｺﾞｼｯｸM-PRO" w:hAnsi="HG丸ｺﾞｼｯｸM-PRO" w:eastAsia="HG丸ｺﾞｼｯｸM-PRO"/>
                                <w:sz w:val="32"/>
                              </w:rPr>
                              <w:t>平成２９年４月１日から５年間実施しておりました、空家等　除却補助金交付事業はさらに延長されます。</w:t>
                            </w:r>
                          </w:p>
                          <w:p>
                            <w:pPr>
                              <w:pStyle w:val="0"/>
                              <w:spacing w:line="440" w:lineRule="exact"/>
                              <w:ind w:firstLine="320" w:firstLineChars="1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この制度は、経年劣化等で倒壊や建築部材の飛散の恐れがある空家等の解体工事を町内業者で行った場合に、補助金を交付するものです。</w:t>
                            </w:r>
                            <w:bookmarkStart w:id="0" w:name="_GoBack"/>
                            <w:bookmarkEnd w:id="0"/>
                          </w:p>
                          <w:p>
                            <w:pPr>
                              <w:pStyle w:val="0"/>
                              <w:spacing w:line="44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sz w:val="32"/>
                              </w:rPr>
                              <w:t>　補助金を受けるには、いくつか条件がありますので以下をご覧ください。</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95pt;mso-position-vertical-relative:text;mso-position-horizontal-relative:text;v-text-anchor:top;position:absolute;height:183.3pt;mso-wrap-distance-top:0pt;width:483.75pt;mso-wrap-distance-left:9pt;margin-left:-1.4pt;z-index:2;" o:spid="_x0000_s1030" o:allowincell="t" o:allowoverlap="t" filled="f" stroked="f" o:spt="202" type="#_x0000_t202">
                <v:fill/>
                <v:textbox style="layout-flow:horizontal;">
                  <w:txbxContent>
                    <w:p>
                      <w:pPr>
                        <w:pStyle w:val="0"/>
                        <w:spacing w:line="440" w:lineRule="exact"/>
                        <w:rPr>
                          <w:rFonts w:hint="default" w:ascii="HG丸ｺﾞｼｯｸM-PRO" w:hAnsi="HG丸ｺﾞｼｯｸM-PRO" w:eastAsia="HG丸ｺﾞｼｯｸM-PRO"/>
                          <w:sz w:val="32"/>
                        </w:rPr>
                      </w:pPr>
                      <w:r>
                        <w:rPr>
                          <w:rFonts w:hint="eastAsia" w:ascii="HG丸ｺﾞｼｯｸM-PRO" w:hAnsi="HG丸ｺﾞｼｯｸM-PRO" w:eastAsia="HG丸ｺﾞｼｯｸM-PRO"/>
                          <w:b w:val="1"/>
                          <w:sz w:val="36"/>
                        </w:rPr>
                        <w:t>　</w:t>
                      </w:r>
                      <w:r>
                        <w:rPr>
                          <w:rFonts w:hint="eastAsia" w:ascii="HG丸ｺﾞｼｯｸM-PRO" w:hAnsi="HG丸ｺﾞｼｯｸM-PRO" w:eastAsia="HG丸ｺﾞｼｯｸM-PRO"/>
                          <w:sz w:val="32"/>
                        </w:rPr>
                        <w:t>平成２９年４月１日から５年間実施しておりました、空家等　除却補助金交付事業はさらに延長されます。</w:t>
                      </w:r>
                    </w:p>
                    <w:p>
                      <w:pPr>
                        <w:pStyle w:val="0"/>
                        <w:spacing w:line="440" w:lineRule="exact"/>
                        <w:ind w:firstLine="320" w:firstLineChars="100"/>
                        <w:rPr>
                          <w:rFonts w:hint="default" w:ascii="HG丸ｺﾞｼｯｸM-PRO" w:hAnsi="HG丸ｺﾞｼｯｸM-PRO" w:eastAsia="HG丸ｺﾞｼｯｸM-PRO"/>
                          <w:sz w:val="32"/>
                        </w:rPr>
                      </w:pPr>
                      <w:r>
                        <w:rPr>
                          <w:rFonts w:hint="eastAsia" w:ascii="HG丸ｺﾞｼｯｸM-PRO" w:hAnsi="HG丸ｺﾞｼｯｸM-PRO" w:eastAsia="HG丸ｺﾞｼｯｸM-PRO"/>
                          <w:sz w:val="32"/>
                        </w:rPr>
                        <w:t>この制度は、経年劣化等で倒壊や建築部材の飛散の恐れがある空家等の解体工事を町内業者で行った場合に、補助金を交付するものです。</w:t>
                      </w:r>
                      <w:bookmarkStart w:id="1" w:name="_GoBack"/>
                      <w:bookmarkEnd w:id="1"/>
                    </w:p>
                    <w:p>
                      <w:pPr>
                        <w:pStyle w:val="0"/>
                        <w:spacing w:line="440" w:lineRule="exact"/>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sz w:val="32"/>
                        </w:rPr>
                        <w:t>　補助金を受けるには、いくつか条件がありますので以下をご覧ください。</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172720</wp:posOffset>
                </wp:positionH>
                <wp:positionV relativeFrom="paragraph">
                  <wp:posOffset>92075</wp:posOffset>
                </wp:positionV>
                <wp:extent cx="6315710" cy="294513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6315710" cy="2945130"/>
                        </a:xfrm>
                        <a:prstGeom prst="rect">
                          <a:avLst/>
                        </a:prstGeom>
                        <a:noFill/>
                        <a:ln>
                          <a:noFill/>
                        </a:ln>
                      </wps:spPr>
                      <wps:txbx>
                        <w:txbxContent>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■補助対象となる空家等は</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sz w:val="28"/>
                              </w:rPr>
                              <w:t>・「特定空家等」と認定されたもの</w:t>
                            </w:r>
                          </w:p>
                          <w:p>
                            <w:pPr>
                              <w:pStyle w:val="0"/>
                              <w:spacing w:line="320" w:lineRule="exact"/>
                              <w:ind w:left="843" w:leftChars="268" w:hanging="280" w:hangingChars="100"/>
                              <w:rPr>
                                <w:rFonts w:hint="default" w:ascii="HG丸ｺﾞｼｯｸM-PRO" w:hAnsi="HG丸ｺﾞｼｯｸM-PRO" w:eastAsia="HG丸ｺﾞｼｯｸM-PRO"/>
                                <w:color w:val="auto"/>
                                <w:sz w:val="28"/>
                              </w:rPr>
                            </w:pPr>
                            <w:r>
                              <w:rPr>
                                <w:rFonts w:hint="eastAsia" w:ascii="HG丸ｺﾞｼｯｸM-PRO" w:hAnsi="HG丸ｺﾞｼｯｸM-PRO" w:eastAsia="HG丸ｺﾞｼｯｸM-PRO"/>
                                <w:sz w:val="28"/>
                              </w:rPr>
                              <w:t>※「特定空家等」とはそのまま放置すれば倒壊等の危険、著しく衛生上有害、著しく景観を損なっている状態、その他周辺の生活環境の保全を図るために放置することが不適切である状態にあると認められる空家等のこと</w:t>
                            </w:r>
                            <w:r>
                              <w:rPr>
                                <w:rFonts w:hint="eastAsia" w:ascii="HG丸ｺﾞｼｯｸM-PRO" w:hAnsi="HG丸ｺﾞｼｯｸM-PRO" w:eastAsia="HG丸ｺﾞｼｯｸM-PRO"/>
                                <w:color w:val="auto"/>
                                <w:sz w:val="28"/>
                              </w:rPr>
                              <w:t>（不良住宅など）</w:t>
                            </w:r>
                          </w:p>
                          <w:p>
                            <w:pPr>
                              <w:pStyle w:val="0"/>
                              <w:spacing w:line="320" w:lineRule="exact"/>
                              <w:ind w:left="840" w:hanging="840" w:hangingChars="3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※「特定空家等」とされるには、せたな町空家等対策協議会での認定が必要となり、期間を要すので、お早目に役場担当者にご相談ください</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・せたな町内に建設されている空家等</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・せたな町内の許可業者が解体施工すること</w:t>
                            </w:r>
                          </w:p>
                          <w:p>
                            <w:pPr>
                              <w:pStyle w:val="0"/>
                              <w:spacing w:line="320" w:lineRule="exact"/>
                              <w:rPr>
                                <w:rFonts w:hint="default" w:ascii="HG丸ｺﾞｼｯｸM-PRO" w:hAnsi="HG丸ｺﾞｼｯｸM-PRO" w:eastAsia="HG丸ｺﾞｼｯｸM-PRO"/>
                                <w:b w:val="1"/>
                                <w:color w:val="000000"/>
                                <w:sz w:val="28"/>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color w:val="000000"/>
                                <w:sz w:val="28"/>
                              </w:rPr>
                              <w:t>補助金交付決定前に着工していないこと</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■その他の注意事項</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sz w:val="28"/>
                              </w:rPr>
                              <w:t>・補助は同一人につき１回限りとする</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sz w:val="28"/>
                              </w:rPr>
                              <w:t>　・国等及びせたな町から他の助成（補助・補償）金を受けていないもの</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25pt;mso-position-vertical-relative:text;mso-position-horizontal-relative:text;v-text-anchor:top;position:absolute;height:231.9pt;mso-wrap-distance-top:0pt;width:497.3pt;mso-wrap-distance-left:9pt;margin-left:13.6pt;z-index:3;" o:spid="_x0000_s1031" o:allowincell="t" o:allowoverlap="t" filled="f" stroked="f" o:spt="202" type="#_x0000_t202">
                <v:fill/>
                <v:textbox style="layout-flow:horizontal;">
                  <w:txbxContent>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■補助対象となる空家等は</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sz w:val="28"/>
                        </w:rPr>
                        <w:t>・「特定空家等」と認定されたもの</w:t>
                      </w:r>
                    </w:p>
                    <w:p>
                      <w:pPr>
                        <w:pStyle w:val="0"/>
                        <w:spacing w:line="320" w:lineRule="exact"/>
                        <w:ind w:left="843" w:leftChars="268" w:hanging="280" w:hangingChars="100"/>
                        <w:rPr>
                          <w:rFonts w:hint="default" w:ascii="HG丸ｺﾞｼｯｸM-PRO" w:hAnsi="HG丸ｺﾞｼｯｸM-PRO" w:eastAsia="HG丸ｺﾞｼｯｸM-PRO"/>
                          <w:color w:val="auto"/>
                          <w:sz w:val="28"/>
                        </w:rPr>
                      </w:pPr>
                      <w:r>
                        <w:rPr>
                          <w:rFonts w:hint="eastAsia" w:ascii="HG丸ｺﾞｼｯｸM-PRO" w:hAnsi="HG丸ｺﾞｼｯｸM-PRO" w:eastAsia="HG丸ｺﾞｼｯｸM-PRO"/>
                          <w:sz w:val="28"/>
                        </w:rPr>
                        <w:t>※「特定空家等」とはそのまま放置すれば倒壊等の危険、著しく衛生上有害、著しく景観を損なっている状態、その他周辺の生活環境の保全を図るために放置することが不適切である状態にあると認められる空家等のこと</w:t>
                      </w:r>
                      <w:r>
                        <w:rPr>
                          <w:rFonts w:hint="eastAsia" w:ascii="HG丸ｺﾞｼｯｸM-PRO" w:hAnsi="HG丸ｺﾞｼｯｸM-PRO" w:eastAsia="HG丸ｺﾞｼｯｸM-PRO"/>
                          <w:color w:val="auto"/>
                          <w:sz w:val="28"/>
                        </w:rPr>
                        <w:t>（不良住宅など）</w:t>
                      </w:r>
                    </w:p>
                    <w:p>
                      <w:pPr>
                        <w:pStyle w:val="0"/>
                        <w:spacing w:line="320" w:lineRule="exact"/>
                        <w:ind w:left="840" w:hanging="840" w:hangingChars="3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※「特定空家等」とされるには、せたな町空家等対策協議会での認定が必要となり、期間を要すので、お早目に役場担当者にご相談ください</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・せたな町内に建設されている空家等</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・せたな町内の許可業者が解体施工すること</w:t>
                      </w:r>
                    </w:p>
                    <w:p>
                      <w:pPr>
                        <w:pStyle w:val="0"/>
                        <w:spacing w:line="320" w:lineRule="exact"/>
                        <w:rPr>
                          <w:rFonts w:hint="default" w:ascii="HG丸ｺﾞｼｯｸM-PRO" w:hAnsi="HG丸ｺﾞｼｯｸM-PRO" w:eastAsia="HG丸ｺﾞｼｯｸM-PRO"/>
                          <w:b w:val="1"/>
                          <w:color w:val="000000"/>
                          <w:sz w:val="28"/>
                        </w:rPr>
                      </w:pPr>
                      <w:r>
                        <w:rPr>
                          <w:rFonts w:hint="eastAsia" w:ascii="HG丸ｺﾞｼｯｸM-PRO" w:hAnsi="HG丸ｺﾞｼｯｸM-PRO" w:eastAsia="HG丸ｺﾞｼｯｸM-PRO"/>
                          <w:sz w:val="28"/>
                        </w:rPr>
                        <w:t>　・</w:t>
                      </w:r>
                      <w:r>
                        <w:rPr>
                          <w:rFonts w:hint="eastAsia" w:ascii="HG丸ｺﾞｼｯｸM-PRO" w:hAnsi="HG丸ｺﾞｼｯｸM-PRO" w:eastAsia="HG丸ｺﾞｼｯｸM-PRO"/>
                          <w:color w:val="000000"/>
                          <w:sz w:val="28"/>
                        </w:rPr>
                        <w:t>補助金交付決定前に着工していないこと</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■その他の注意事項</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sz w:val="28"/>
                        </w:rPr>
                        <w:t>・補助は同一人につき１回限りとする</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sz w:val="28"/>
                        </w:rPr>
                        <w:t>　・国等及びせたな町から他の助成（補助・補償）金を受けていないもの</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179705</wp:posOffset>
                </wp:positionH>
                <wp:positionV relativeFrom="paragraph">
                  <wp:posOffset>236220</wp:posOffset>
                </wp:positionV>
                <wp:extent cx="6365875" cy="2247900"/>
                <wp:effectExtent l="0" t="0" r="635" b="635"/>
                <wp:wrapNone/>
                <wp:docPr id="1032" name="テキスト ボックス 5"/>
                <a:graphic xmlns:a="http://schemas.openxmlformats.org/drawingml/2006/main">
                  <a:graphicData uri="http://schemas.microsoft.com/office/word/2010/wordprocessingShape">
                    <wps:wsp>
                      <wps:cNvPr id="1032" name="テキスト ボックス 5"/>
                      <wps:cNvSpPr txBox="1">
                        <a:spLocks noChangeArrowheads="1"/>
                      </wps:cNvSpPr>
                      <wps:spPr>
                        <a:xfrm>
                          <a:off x="0" y="0"/>
                          <a:ext cx="6365875" cy="2247900"/>
                        </a:xfrm>
                        <a:prstGeom prst="rect">
                          <a:avLst/>
                        </a:prstGeom>
                        <a:noFill/>
                        <a:ln>
                          <a:noFill/>
                        </a:ln>
                      </wps:spPr>
                      <wps:txbx>
                        <w:txbxContent>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■補助金交付の流れ</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sz w:val="28"/>
                              </w:rPr>
                              <w:t>①解体内容を役場担当者に相談し、特定空家等であるかの確認をする</w:t>
                            </w:r>
                          </w:p>
                          <w:p>
                            <w:pPr>
                              <w:pStyle w:val="0"/>
                              <w:spacing w:line="320" w:lineRule="exact"/>
                              <w:ind w:left="560" w:hanging="560" w:hanging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②特定空家等となる場合</w:t>
                            </w:r>
                            <w:r>
                              <w:rPr>
                                <w:rFonts w:hint="eastAsia" w:ascii="HG丸ｺﾞｼｯｸM-PRO" w:hAnsi="HG丸ｺﾞｼｯｸM-PRO" w:eastAsia="HG丸ｺﾞｼｯｸM-PRO"/>
                                <w:color w:val="000000"/>
                                <w:sz w:val="28"/>
                              </w:rPr>
                              <w:t>、補助金交付申請書と施工</w:t>
                            </w:r>
                            <w:r>
                              <w:rPr>
                                <w:rFonts w:hint="eastAsia" w:ascii="HG丸ｺﾞｼｯｸM-PRO" w:hAnsi="HG丸ｺﾞｼｯｸM-PRO" w:eastAsia="HG丸ｺﾞｼｯｸM-PRO"/>
                                <w:sz w:val="28"/>
                              </w:rPr>
                              <w:t>業者からの見積書、図面、現況写真などの必要書類を役場に提出する</w:t>
                            </w:r>
                          </w:p>
                          <w:p>
                            <w:pPr>
                              <w:pStyle w:val="0"/>
                              <w:spacing w:line="320" w:lineRule="exact"/>
                              <w:ind w:left="560" w:hanging="560" w:hanging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※相続人や代理人が申請する場合は、必要書類が追加となります</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③内容審査後、補助金交付決定書を受領</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④着工</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⑤工事が完了し、</w:t>
                            </w:r>
                            <w:r>
                              <w:rPr>
                                <w:rFonts w:hint="eastAsia" w:ascii="HG丸ｺﾞｼｯｸM-PRO" w:hAnsi="HG丸ｺﾞｼｯｸM-PRO" w:eastAsia="HG丸ｺﾞｼｯｸM-PRO"/>
                                <w:color w:val="000000"/>
                                <w:sz w:val="28"/>
                              </w:rPr>
                              <w:t>支払終了後</w:t>
                            </w:r>
                            <w:r>
                              <w:rPr>
                                <w:rFonts w:hint="eastAsia" w:ascii="HG丸ｺﾞｼｯｸM-PRO" w:hAnsi="HG丸ｺﾞｼｯｸM-PRO" w:eastAsia="HG丸ｺﾞｼｯｸM-PRO"/>
                                <w:sz w:val="28"/>
                              </w:rPr>
                              <w:t>、速やかに完了報告書を提出</w:t>
                            </w:r>
                          </w:p>
                          <w:p>
                            <w:pPr>
                              <w:pStyle w:val="0"/>
                              <w:spacing w:line="32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（領収書の写しを添付）</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sz w:val="28"/>
                              </w:rPr>
                              <w:t>　⑥完了検査後、補助金を受領</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　</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8.600000000000001pt;mso-position-vertical-relative:text;mso-position-horizontal-relative:text;v-text-anchor:top;position:absolute;height:177pt;mso-wrap-distance-top:0pt;width:501.25pt;mso-wrap-distance-left:9pt;margin-left:14.15pt;z-index:5;" o:spid="_x0000_s1032" o:allowincell="t" o:allowoverlap="t" filled="f" stroked="f" o:spt="202" type="#_x0000_t202">
                <v:fill/>
                <v:textbox style="layout-flow:horizontal;">
                  <w:txbxContent>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color w:val="FFFFFF" w:themeColor="background1"/>
                          <w:sz w:val="28"/>
                          <w:highlight w:val="black"/>
                        </w:rPr>
                        <w:t>■補助金交付の流れ</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sz w:val="28"/>
                        </w:rPr>
                        <w:t>①解体内容を役場担当者に相談し、特定空家等であるかの確認をする</w:t>
                      </w:r>
                    </w:p>
                    <w:p>
                      <w:pPr>
                        <w:pStyle w:val="0"/>
                        <w:spacing w:line="320" w:lineRule="exact"/>
                        <w:ind w:left="560" w:hanging="560" w:hanging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②特定空家等となる場合</w:t>
                      </w:r>
                      <w:r>
                        <w:rPr>
                          <w:rFonts w:hint="eastAsia" w:ascii="HG丸ｺﾞｼｯｸM-PRO" w:hAnsi="HG丸ｺﾞｼｯｸM-PRO" w:eastAsia="HG丸ｺﾞｼｯｸM-PRO"/>
                          <w:color w:val="000000"/>
                          <w:sz w:val="28"/>
                        </w:rPr>
                        <w:t>、補助金交付申請書と施工</w:t>
                      </w:r>
                      <w:r>
                        <w:rPr>
                          <w:rFonts w:hint="eastAsia" w:ascii="HG丸ｺﾞｼｯｸM-PRO" w:hAnsi="HG丸ｺﾞｼｯｸM-PRO" w:eastAsia="HG丸ｺﾞｼｯｸM-PRO"/>
                          <w:sz w:val="28"/>
                        </w:rPr>
                        <w:t>業者からの見積書、図面、現況写真などの必要書類を役場に提出する</w:t>
                      </w:r>
                    </w:p>
                    <w:p>
                      <w:pPr>
                        <w:pStyle w:val="0"/>
                        <w:spacing w:line="320" w:lineRule="exact"/>
                        <w:ind w:left="560" w:hanging="560" w:hanging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※相続人や代理人が申請する場合は、必要書類が追加となります</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③内容審査後、補助金交付決定書を受領</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④着工</w:t>
                      </w:r>
                    </w:p>
                    <w:p>
                      <w:pPr>
                        <w:pStyle w:val="0"/>
                        <w:spacing w:line="320" w:lineRule="exact"/>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　⑤工事が完了し、</w:t>
                      </w:r>
                      <w:r>
                        <w:rPr>
                          <w:rFonts w:hint="eastAsia" w:ascii="HG丸ｺﾞｼｯｸM-PRO" w:hAnsi="HG丸ｺﾞｼｯｸM-PRO" w:eastAsia="HG丸ｺﾞｼｯｸM-PRO"/>
                          <w:color w:val="000000"/>
                          <w:sz w:val="28"/>
                        </w:rPr>
                        <w:t>支払終了後</w:t>
                      </w:r>
                      <w:r>
                        <w:rPr>
                          <w:rFonts w:hint="eastAsia" w:ascii="HG丸ｺﾞｼｯｸM-PRO" w:hAnsi="HG丸ｺﾞｼｯｸM-PRO" w:eastAsia="HG丸ｺﾞｼｯｸM-PRO"/>
                          <w:sz w:val="28"/>
                        </w:rPr>
                        <w:t>、速やかに完了報告書を提出</w:t>
                      </w:r>
                    </w:p>
                    <w:p>
                      <w:pPr>
                        <w:pStyle w:val="0"/>
                        <w:spacing w:line="320" w:lineRule="exact"/>
                        <w:ind w:firstLine="280" w:firstLineChars="1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（領収書の写しを添付）</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sz w:val="28"/>
                        </w:rPr>
                        <w:t>　⑥完了検査後、補助金を受領</w:t>
                      </w:r>
                    </w:p>
                    <w:p>
                      <w:pPr>
                        <w:pStyle w:val="0"/>
                        <w:spacing w:line="320" w:lineRule="exact"/>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988695</wp:posOffset>
                </wp:positionH>
                <wp:positionV relativeFrom="paragraph">
                  <wp:posOffset>122555</wp:posOffset>
                </wp:positionV>
                <wp:extent cx="5102225" cy="818515"/>
                <wp:effectExtent l="635" t="635" r="29845" b="10795"/>
                <wp:wrapNone/>
                <wp:docPr id="1033" name="テキスト ボックス 9"/>
                <a:graphic xmlns:a="http://schemas.openxmlformats.org/drawingml/2006/main">
                  <a:graphicData uri="http://schemas.microsoft.com/office/word/2010/wordprocessingShape">
                    <wps:wsp>
                      <wps:cNvPr id="1033" name="テキスト ボックス 9"/>
                      <wps:cNvSpPr txBox="1"/>
                      <wps:spPr>
                        <a:xfrm>
                          <a:off x="0" y="0"/>
                          <a:ext cx="5102225" cy="818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申請窓口　　せたな町まちづくり推進課まちづくり推進係　</w:t>
                            </w:r>
                            <w:r>
                              <w:rPr>
                                <w:rFonts w:hint="eastAsia" w:ascii="HG丸ｺﾞｼｯｸM-PRO" w:hAnsi="HG丸ｺﾞｼｯｸM-PRO" w:eastAsia="HG丸ｺﾞｼｯｸM-PRO"/>
                              </w:rPr>
                              <w:t>0137-84-5111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（問合せ先）　瀬棚支所庶務係　　　　　　　　　　　　　　</w:t>
                            </w:r>
                            <w:r>
                              <w:rPr>
                                <w:rFonts w:hint="eastAsia" w:ascii="HG丸ｺﾞｼｯｸM-PRO" w:hAnsi="HG丸ｺﾞｼｯｸM-PRO" w:eastAsia="HG丸ｺﾞｼｯｸM-PRO"/>
                              </w:rPr>
                              <w:t>0137-87-3311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大成支所庶務係　　　　　　　　　　　　　　</w:t>
                            </w:r>
                            <w:r>
                              <w:rPr>
                                <w:rFonts w:hint="eastAsia" w:ascii="HG丸ｺﾞｼｯｸM-PRO" w:hAnsi="HG丸ｺﾞｼｯｸM-PRO" w:eastAsia="HG丸ｺﾞｼｯｸM-PRO"/>
                              </w:rPr>
                              <w:t>01398-4-5511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9.65pt;mso-position-vertical-relative:text;mso-position-horizontal-relative:text;v-text-anchor:top;position:absolute;height:64.45pt;mso-wrap-distance-top:0pt;width:401.75pt;mso-wrap-distance-left:9pt;margin-left:77.84pt;z-index:9;" o:spid="_x0000_s1033" o:allowincell="t" o:allowoverlap="t" filled="t" fillcolor="#ffffff [3201]" stroked="t" strokecolor="#000000" strokeweight="0.5pt" o:spt="202" type="#_x0000_t202">
                <v:fill/>
                <v:stroke filltype="solid"/>
                <v:textbox style="layout-flow:horizontal;">
                  <w:txbxContent>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申請窓口　　せたな町まちづくり推進課まちづくり推進係　</w:t>
                      </w:r>
                      <w:r>
                        <w:rPr>
                          <w:rFonts w:hint="eastAsia" w:ascii="HG丸ｺﾞｼｯｸM-PRO" w:hAnsi="HG丸ｺﾞｼｯｸM-PRO" w:eastAsia="HG丸ｺﾞｼｯｸM-PRO"/>
                        </w:rPr>
                        <w:t>0137-84-5111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（問合せ先）　瀬棚支所庶務係　　　　　　　　　　　　　　</w:t>
                      </w:r>
                      <w:r>
                        <w:rPr>
                          <w:rFonts w:hint="eastAsia" w:ascii="HG丸ｺﾞｼｯｸM-PRO" w:hAnsi="HG丸ｺﾞｼｯｸM-PRO" w:eastAsia="HG丸ｺﾞｼｯｸM-PRO"/>
                        </w:rPr>
                        <w:t>0137-87-3311</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大成支所庶務係　　　　　　　　　　　　　　</w:t>
                      </w:r>
                      <w:r>
                        <w:rPr>
                          <w:rFonts w:hint="eastAsia" w:ascii="HG丸ｺﾞｼｯｸM-PRO" w:hAnsi="HG丸ｺﾞｼｯｸM-PRO" w:eastAsia="HG丸ｺﾞｼｯｸM-PRO"/>
                        </w:rPr>
                        <w:t>01398-4-5511</w:t>
                      </w:r>
                    </w:p>
                  </w:txbxContent>
                </v:textbox>
                <v:imagedata o:title=""/>
                <w10:wrap type="none" anchorx="text" anchory="text"/>
              </v:shape>
            </w:pict>
          </mc:Fallback>
        </mc:AlternateContent>
      </w:r>
    </w:p>
    <w:p>
      <w:pPr>
        <w:pStyle w:val="0"/>
        <w:rPr>
          <w:rFonts w:hint="default"/>
        </w:rPr>
      </w:pPr>
    </w:p>
    <w:p>
      <w:pPr>
        <w:pStyle w:val="0"/>
        <w:ind w:right="840"/>
        <w:rPr>
          <w:rFonts w:hint="default" w:ascii="HG丸ｺﾞｼｯｸM-PRO" w:hAnsi="HG丸ｺﾞｼｯｸM-PRO" w:eastAsia="HG丸ｺﾞｼｯｸM-PR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平成角ｺﾞｼｯｸ体W5P">
    <w:panose1 w:val="00000000000000000000"/>
    <w:charset w:val="80"/>
    <w:family w:val="modern"/>
    <w:notTrueType/>
    <w:pitch w:val="fixed"/>
    <w:sig w:usb0="00000000" w:usb1="00000000" w:usb2="00000000" w:usb3="00000000" w:csb0="000200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平成角ｺﾞｼｯｸ体W5P">
    <w:panose1 w:val="00000800000000000000"/>
    <w:charset w:val="80"/>
    <w:family w:val="moder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0</Characters>
  <Application>JUST Note</Application>
  <Lines>39</Lines>
  <Paragraphs>0</Paragraphs>
  <Company> </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鳴海 航</dc:creator>
  <cp:lastModifiedBy>笹木 拓也</cp:lastModifiedBy>
  <cp:lastPrinted>2022-03-31T07:47:21Z</cp:lastPrinted>
  <dcterms:created xsi:type="dcterms:W3CDTF">2019-04-08T04:34:00Z</dcterms:created>
  <dcterms:modified xsi:type="dcterms:W3CDTF">2022-03-31T07:55:41Z</dcterms:modified>
  <cp:revision>13</cp:revision>
</cp:coreProperties>
</file>