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-415290</wp:posOffset>
                </wp:positionH>
                <wp:positionV relativeFrom="paragraph">
                  <wp:posOffset>-358140</wp:posOffset>
                </wp:positionV>
                <wp:extent cx="673735" cy="438150"/>
                <wp:effectExtent l="635" t="635" r="29845" b="10795"/>
                <wp:wrapNone/>
                <wp:docPr id="1026" name="AutoShape 12"/>
                <a:graphic xmlns:a="http://schemas.openxmlformats.org/drawingml/2006/main">
                  <a:graphicData uri="http://schemas.microsoft.com/office/word/2010/wordprocessingShape">
                    <wps:wsp>
                      <wps:cNvPr id="1026" name="AutoShape 12"/>
                      <wps:cNvSpPr>
                        <a:spLocks noChangeArrowheads="1"/>
                      </wps:cNvSpPr>
                      <wps:spPr>
                        <a:xfrm>
                          <a:off x="0" y="0"/>
                          <a:ext cx="673735" cy="438150"/>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回覧</w:t>
                            </w:r>
                          </w:p>
                        </w:txbxContent>
                      </wps:txbx>
                      <wps:bodyPr rot="0" vertOverflow="overflow" horzOverflow="overflow" wrap="square" lIns="74295" tIns="8890" rIns="74295" bIns="8890" anchor="t" anchorCtr="0" upright="1"/>
                    </wps:wsp>
                  </a:graphicData>
                </a:graphic>
              </wp:anchor>
            </w:drawing>
          </mc:Choice>
          <mc:Fallback>
            <w:pict>
              <v:roundrect id="AutoShape 12" style="mso-wrap-distance-right:9pt;mso-wrap-distance-bottom:0pt;margin-top:-28.2pt;mso-position-vertical-relative:text;mso-position-horizontal-relative:text;v-text-anchor:top;position:absolute;height:34.5pt;mso-wrap-distance-top:0pt;width:53.05pt;mso-wrap-distance-left:9pt;margin-left:-32.700000000000003pt;z-index:7;" o:spid="_x0000_s1026"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回覧</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77470</wp:posOffset>
                </wp:positionH>
                <wp:positionV relativeFrom="paragraph">
                  <wp:posOffset>-306070</wp:posOffset>
                </wp:positionV>
                <wp:extent cx="6417945" cy="47498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a:spLocks noChangeArrowheads="1"/>
                      </wps:cNvSpPr>
                      <wps:spPr>
                        <a:xfrm>
                          <a:off x="0" y="0"/>
                          <a:ext cx="6417945" cy="474980"/>
                        </a:xfrm>
                        <a:prstGeom prst="rect">
                          <a:avLst/>
                        </a:prstGeom>
                        <a:noFill/>
                        <a:ln>
                          <a:noFill/>
                        </a:ln>
                      </wps:spPr>
                      <wps:txbx>
                        <w:txbxContent>
                          <w:p>
                            <w:pPr>
                              <w:pStyle w:val="0"/>
                              <w:jc w:val="center"/>
                              <w:rPr>
                                <w:rFonts w:hint="default" w:eastAsia="HG丸ｺﾞｼｯｸM-PRO"/>
                                <w:b w:val="1"/>
                                <w:sz w:val="40"/>
                              </w:rPr>
                            </w:pPr>
                            <w:r>
                              <w:rPr>
                                <w:rFonts w:hint="eastAsia" w:eastAsia="HG丸ｺﾞｼｯｸM-PRO"/>
                                <w:b w:val="1"/>
                                <w:sz w:val="40"/>
                              </w:rPr>
                              <w:t>事業費の５０％を助成します！（上限５０万円）</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4.1pt;mso-position-vertical-relative:text;mso-position-horizontal-relative:text;v-text-anchor:top;position:absolute;height:37.4pt;mso-wrap-distance-top:0pt;width:505.35pt;mso-wrap-distance-left:9pt;margin-left:6.1pt;z-index:4;" o:spid="_x0000_s1027"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default" w:eastAsia="HG丸ｺﾞｼｯｸM-PRO"/>
                          <w:b w:val="1"/>
                          <w:sz w:val="40"/>
                        </w:rPr>
                      </w:pPr>
                      <w:r>
                        <w:rPr>
                          <w:rFonts w:hint="eastAsia" w:eastAsia="HG丸ｺﾞｼｯｸM-PRO"/>
                          <w:b w:val="1"/>
                          <w:sz w:val="40"/>
                        </w:rPr>
                        <w:t>事業費の５０％を助成します！（上限５０万円）</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-339725</wp:posOffset>
                </wp:positionH>
                <wp:positionV relativeFrom="paragraph">
                  <wp:posOffset>-57150</wp:posOffset>
                </wp:positionV>
                <wp:extent cx="6942455" cy="922020"/>
                <wp:effectExtent l="0" t="0" r="635" b="635"/>
                <wp:wrapNone/>
                <wp:docPr id="1028" name="テキスト ボックス 6"/>
                <a:graphic xmlns:a="http://schemas.openxmlformats.org/drawingml/2006/main">
                  <a:graphicData uri="http://schemas.microsoft.com/office/word/2010/wordprocessingShape">
                    <wps:wsp>
                      <wps:cNvPr id="1028" name="テキスト ボックス 6"/>
                      <wps:cNvSpPr txBox="1">
                        <a:spLocks noChangeArrowheads="1"/>
                      </wps:cNvSpPr>
                      <wps:spPr>
                        <a:xfrm>
                          <a:off x="0" y="0"/>
                          <a:ext cx="6942455" cy="922020"/>
                        </a:xfrm>
                        <a:prstGeom prst="rect">
                          <a:avLst/>
                        </a:prstGeom>
                        <a:noFill/>
                        <a:ln>
                          <a:noFill/>
                        </a:ln>
                      </wps:spPr>
                      <wps:txbx>
                        <w:txbxContent>
                          <w:p>
                            <w:pPr>
                              <w:pStyle w:val="0"/>
                              <w:jc w:val="center"/>
                              <w:rPr>
                                <w:rFonts w:hint="default" w:ascii="平成角ｺﾞｼｯｸ体W5P" w:hAnsi="平成角ｺﾞｼｯｸ体W5P" w:eastAsia="平成角ｺﾞｼｯｸ体W5P"/>
                                <w:b w:val="1"/>
                                <w:caps w:val="1"/>
                                <w:sz w:val="88"/>
                              </w:rPr>
                            </w:pPr>
                            <w:r>
                              <w:rPr>
                                <w:rFonts w:hint="eastAsia" w:ascii="メイリオ" w:hAnsi="メイリオ" w:eastAsia="メイリオ"/>
                                <w:b w:val="1"/>
                                <w:caps w:val="1"/>
                                <w:color w:val="002060"/>
                                <w:sz w:val="88"/>
                              </w:rPr>
                              <w:t>空家等除却補助金交付事業</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4.5pt;mso-position-vertical-relative:text;mso-position-horizontal-relative:text;v-text-anchor:top;position:absolute;height:72.59pt;mso-wrap-distance-top:0pt;width:546.65pt;mso-wrap-distance-left:9pt;margin-left:-26.75pt;z-index:6;"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ascii="平成角ｺﾞｼｯｸ体W5P" w:hAnsi="平成角ｺﾞｼｯｸ体W5P" w:eastAsia="平成角ｺﾞｼｯｸ体W5P"/>
                          <w:b w:val="1"/>
                          <w:caps w:val="1"/>
                          <w:sz w:val="88"/>
                        </w:rPr>
                      </w:pPr>
                      <w:r>
                        <w:rPr>
                          <w:rFonts w:hint="eastAsia" w:ascii="メイリオ" w:hAnsi="メイリオ" w:eastAsia="メイリオ"/>
                          <w:b w:val="1"/>
                          <w:caps w:val="1"/>
                          <w:color w:val="002060"/>
                          <w:sz w:val="88"/>
                        </w:rPr>
                        <w:t>空家等除却補助金交付事業</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 behindDoc="1" locked="0" layoutInCell="1" hidden="0" allowOverlap="1">
                <wp:simplePos x="0" y="0"/>
                <wp:positionH relativeFrom="column">
                  <wp:posOffset>3521710</wp:posOffset>
                </wp:positionH>
                <wp:positionV relativeFrom="paragraph">
                  <wp:posOffset>151765</wp:posOffset>
                </wp:positionV>
                <wp:extent cx="3081020" cy="2000250"/>
                <wp:effectExtent l="635" t="635" r="29845" b="10795"/>
                <wp:wrapNone/>
                <wp:docPr id="1029" name="テキスト ボックス 10"/>
                <a:graphic xmlns:a="http://schemas.openxmlformats.org/drawingml/2006/main">
                  <a:graphicData uri="http://schemas.microsoft.com/office/word/2010/wordprocessingShape">
                    <wps:wsp>
                      <wps:cNvPr id="1029" name="テキスト ボックス 10"/>
                      <wps:cNvSpPr txBox="1"/>
                      <wps:spPr>
                        <a:xfrm>
                          <a:off x="0" y="0"/>
                          <a:ext cx="3081020" cy="2000250"/>
                        </a:xfrm>
                        <a:prstGeom prst="rect">
                          <a:avLst/>
                        </a:prstGeom>
                        <a:solidFill>
                          <a:sysClr val="window" lastClr="FFFFFF"/>
                        </a:solidFill>
                        <a:ln w="6350">
                          <a:solidFill>
                            <a:sysClr val="window" lastClr="FFFFFF"/>
                          </a:solidFill>
                        </a:ln>
                        <a:effectLst/>
                      </wps:spPr>
                      <wps:txbx>
                        <w:txbxContent>
                          <w:p>
                            <w:pPr>
                              <w:pStyle w:val="0"/>
                              <w:rPr>
                                <w:rFonts w:hint="default" w:ascii="平成角ｺﾞｼｯｸ体W5P" w:hAnsi="平成角ｺﾞｼｯｸ体W5P" w:eastAsia="平成角ｺﾞｼｯｸ体W5P"/>
                                <w:b w:val="1"/>
                                <w:sz w:val="56"/>
                              </w:rPr>
                            </w:pPr>
                            <w:r>
                              <w:rPr>
                                <w:rFonts w:hint="eastAsia" w:ascii="平成角ｺﾞｼｯｸ体W5P" w:hAnsi="平成角ｺﾞｼｯｸ体W5P" w:eastAsia="平成角ｺﾞｼｯｸ体W5P"/>
                                <w:b w:val="1"/>
                                <w:sz w:val="56"/>
                              </w:rPr>
                              <w:t>が延長されます</w:t>
                            </w:r>
                            <w:r>
                              <w:rPr>
                                <w:rFonts w:hint="eastAsia" w:ascii="平成角ｺﾞｼｯｸ体W5P" w:hAnsi="平成角ｺﾞｼｯｸ体W5P" w:eastAsia="平成角ｺﾞｼｯｸ体W5P"/>
                                <w:b w:val="1"/>
                                <w:sz w:val="5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1.95pt;mso-position-vertical-relative:text;mso-position-horizontal-relative:text;v-text-anchor:top;position:absolute;height:157.5pt;mso-wrap-distance-top:0pt;width:242.6pt;mso-wrap-distance-left:9pt;margin-left:277.3pt;z-index:-503316472;" o:spid="_x0000_s1029" o:allowincell="t" o:allowoverlap="t" filled="t" fillcolor="#ffffff" stroked="t" strokecolor="#ffffff" strokeweight="0.5pt" o:spt="202" type="#_x0000_t202">
                <v:fill/>
                <v:stroke filltype="solid"/>
                <v:textbox style="layout-flow:horizontal;">
                  <w:txbxContent>
                    <w:p>
                      <w:pPr>
                        <w:pStyle w:val="0"/>
                        <w:rPr>
                          <w:rFonts w:hint="default" w:ascii="平成角ｺﾞｼｯｸ体W5P" w:hAnsi="平成角ｺﾞｼｯｸ体W5P" w:eastAsia="平成角ｺﾞｼｯｸ体W5P"/>
                          <w:b w:val="1"/>
                          <w:sz w:val="56"/>
                        </w:rPr>
                      </w:pPr>
                      <w:r>
                        <w:rPr>
                          <w:rFonts w:hint="eastAsia" w:ascii="平成角ｺﾞｼｯｸ体W5P" w:hAnsi="平成角ｺﾞｼｯｸ体W5P" w:eastAsia="平成角ｺﾞｼｯｸ体W5P"/>
                          <w:b w:val="1"/>
                          <w:sz w:val="56"/>
                        </w:rPr>
                        <w:t>が延長されます</w:t>
                      </w:r>
                      <w:r>
                        <w:rPr>
                          <w:rFonts w:hint="eastAsia" w:ascii="平成角ｺﾞｼｯｸ体W5P" w:hAnsi="平成角ｺﾞｼｯｸ体W5P" w:eastAsia="平成角ｺﾞｼｯｸ体W5P"/>
                          <w:b w:val="1"/>
                          <w:sz w:val="56"/>
                        </w:rPr>
                        <w:t>!!</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50165</wp:posOffset>
                </wp:positionV>
                <wp:extent cx="6143625" cy="2327910"/>
                <wp:effectExtent l="0" t="0" r="635" b="635"/>
                <wp:wrapNone/>
                <wp:docPr id="1030" name="テキスト ボックス 1"/>
                <a:graphic xmlns:a="http://schemas.openxmlformats.org/drawingml/2006/main">
                  <a:graphicData uri="http://schemas.microsoft.com/office/word/2010/wordprocessingShape">
                    <wps:wsp>
                      <wps:cNvPr id="1030" name="テキスト ボックス 1"/>
                      <wps:cNvSpPr txBox="1">
                        <a:spLocks noChangeArrowheads="1"/>
                      </wps:cNvSpPr>
                      <wps:spPr>
                        <a:xfrm>
                          <a:off x="0" y="0"/>
                          <a:ext cx="6143625" cy="2327910"/>
                        </a:xfrm>
                        <a:prstGeom prst="rect">
                          <a:avLst/>
                        </a:prstGeom>
                        <a:noFill/>
                        <a:ln>
                          <a:noFill/>
                        </a:ln>
                      </wps:spPr>
                      <wps:txbx>
                        <w:txbxContent>
                          <w:p>
                            <w:pPr>
                              <w:pStyle w:val="0"/>
                              <w:spacing w:line="440" w:lineRule="exact"/>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1"/>
                                <w:sz w:val="36"/>
                              </w:rPr>
                              <w:t>　</w:t>
                            </w:r>
                            <w:r>
                              <w:rPr>
                                <w:rFonts w:hint="eastAsia" w:ascii="HG丸ｺﾞｼｯｸM-PRO" w:hAnsi="HG丸ｺﾞｼｯｸM-PRO" w:eastAsia="HG丸ｺﾞｼｯｸM-PRO"/>
                                <w:b w:val="0"/>
                                <w:sz w:val="32"/>
                              </w:rPr>
                              <w:t>平成２９年４月１日から４年間実施しておりました、空家等　除却補助金交付事業はさらに１年間延長されます。</w:t>
                            </w:r>
                          </w:p>
                          <w:p>
                            <w:pPr>
                              <w:pStyle w:val="0"/>
                              <w:spacing w:line="440" w:lineRule="exact"/>
                              <w:ind w:left="0" w:leftChars="0" w:firstLine="5120" w:firstLineChars="1600"/>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0"/>
                                <w:sz w:val="32"/>
                              </w:rPr>
                              <w:t>（令和４年</w:t>
                            </w:r>
                            <w:r>
                              <w:rPr>
                                <w:rFonts w:hint="eastAsia" w:ascii="HG丸ｺﾞｼｯｸM-PRO" w:hAnsi="HG丸ｺﾞｼｯｸM-PRO" w:eastAsia="HG丸ｺﾞｼｯｸM-PRO"/>
                                <w:b w:val="0"/>
                                <w:sz w:val="32"/>
                              </w:rPr>
                              <w:t>3</w:t>
                            </w:r>
                            <w:r>
                              <w:rPr>
                                <w:rFonts w:hint="eastAsia" w:ascii="HG丸ｺﾞｼｯｸM-PRO" w:hAnsi="HG丸ｺﾞｼｯｸM-PRO" w:eastAsia="HG丸ｺﾞｼｯｸM-PRO"/>
                                <w:b w:val="0"/>
                                <w:sz w:val="32"/>
                              </w:rPr>
                              <w:t>月</w:t>
                            </w:r>
                            <w:r>
                              <w:rPr>
                                <w:rFonts w:hint="eastAsia" w:ascii="HG丸ｺﾞｼｯｸM-PRO" w:hAnsi="HG丸ｺﾞｼｯｸM-PRO" w:eastAsia="HG丸ｺﾞｼｯｸM-PRO"/>
                                <w:b w:val="0"/>
                                <w:sz w:val="32"/>
                              </w:rPr>
                              <w:t>31</w:t>
                            </w:r>
                            <w:r>
                              <w:rPr>
                                <w:rFonts w:hint="eastAsia" w:ascii="HG丸ｺﾞｼｯｸM-PRO" w:hAnsi="HG丸ｺﾞｼｯｸM-PRO" w:eastAsia="HG丸ｺﾞｼｯｸM-PRO"/>
                                <w:b w:val="0"/>
                                <w:sz w:val="32"/>
                              </w:rPr>
                              <w:t>日まで）</w:t>
                            </w:r>
                          </w:p>
                          <w:p>
                            <w:pPr>
                              <w:pStyle w:val="0"/>
                              <w:spacing w:line="440" w:lineRule="exact"/>
                              <w:ind w:firstLine="321" w:firstLineChars="100"/>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0"/>
                                <w:sz w:val="32"/>
                              </w:rPr>
                              <w:t>この制度は、経年劣化等で倒壊や建築部材の飛散の恐れがある空家等の解体工事を町内業者で行った場合に、補助金を交付するものです。</w:t>
                            </w:r>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0"/>
                                <w:sz w:val="32"/>
                              </w:rPr>
                              <w:t>　補助金を受けるには、いくつか条件がありますので以下をご覧ください。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95pt;mso-position-vertical-relative:text;mso-position-horizontal-relative:text;v-text-anchor:top;position:absolute;height:183.3pt;mso-wrap-distance-top:0pt;width:483.75pt;mso-wrap-distance-left:9pt;margin-left:-1.4pt;z-index:2;" o:spid="_x0000_s1030" o:allowincell="t" o:allowoverlap="t" filled="f" stroked="f" o:spt="202" type="#_x0000_t202">
                <v:fill/>
                <v:textbox style="layout-flow:horizontal;">
                  <w:txbxContent>
                    <w:p>
                      <w:pPr>
                        <w:pStyle w:val="0"/>
                        <w:spacing w:line="440" w:lineRule="exact"/>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1"/>
                          <w:sz w:val="36"/>
                        </w:rPr>
                        <w:t>　</w:t>
                      </w:r>
                      <w:r>
                        <w:rPr>
                          <w:rFonts w:hint="eastAsia" w:ascii="HG丸ｺﾞｼｯｸM-PRO" w:hAnsi="HG丸ｺﾞｼｯｸM-PRO" w:eastAsia="HG丸ｺﾞｼｯｸM-PRO"/>
                          <w:b w:val="0"/>
                          <w:sz w:val="32"/>
                        </w:rPr>
                        <w:t>平成２９年４月１日から４年間実施しておりました、空家等　除却補助金交付事業はさらに１年間延長されます。</w:t>
                      </w:r>
                    </w:p>
                    <w:p>
                      <w:pPr>
                        <w:pStyle w:val="0"/>
                        <w:spacing w:line="440" w:lineRule="exact"/>
                        <w:ind w:left="0" w:leftChars="0" w:firstLine="5120" w:firstLineChars="1600"/>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0"/>
                          <w:sz w:val="32"/>
                        </w:rPr>
                        <w:t>（令和４年</w:t>
                      </w:r>
                      <w:r>
                        <w:rPr>
                          <w:rFonts w:hint="eastAsia" w:ascii="HG丸ｺﾞｼｯｸM-PRO" w:hAnsi="HG丸ｺﾞｼｯｸM-PRO" w:eastAsia="HG丸ｺﾞｼｯｸM-PRO"/>
                          <w:b w:val="0"/>
                          <w:sz w:val="32"/>
                        </w:rPr>
                        <w:t>3</w:t>
                      </w:r>
                      <w:r>
                        <w:rPr>
                          <w:rFonts w:hint="eastAsia" w:ascii="HG丸ｺﾞｼｯｸM-PRO" w:hAnsi="HG丸ｺﾞｼｯｸM-PRO" w:eastAsia="HG丸ｺﾞｼｯｸM-PRO"/>
                          <w:b w:val="0"/>
                          <w:sz w:val="32"/>
                        </w:rPr>
                        <w:t>月</w:t>
                      </w:r>
                      <w:r>
                        <w:rPr>
                          <w:rFonts w:hint="eastAsia" w:ascii="HG丸ｺﾞｼｯｸM-PRO" w:hAnsi="HG丸ｺﾞｼｯｸM-PRO" w:eastAsia="HG丸ｺﾞｼｯｸM-PRO"/>
                          <w:b w:val="0"/>
                          <w:sz w:val="32"/>
                        </w:rPr>
                        <w:t>31</w:t>
                      </w:r>
                      <w:r>
                        <w:rPr>
                          <w:rFonts w:hint="eastAsia" w:ascii="HG丸ｺﾞｼｯｸM-PRO" w:hAnsi="HG丸ｺﾞｼｯｸM-PRO" w:eastAsia="HG丸ｺﾞｼｯｸM-PRO"/>
                          <w:b w:val="0"/>
                          <w:sz w:val="32"/>
                        </w:rPr>
                        <w:t>日まで）</w:t>
                      </w:r>
                    </w:p>
                    <w:p>
                      <w:pPr>
                        <w:pStyle w:val="0"/>
                        <w:spacing w:line="440" w:lineRule="exact"/>
                        <w:ind w:firstLine="321" w:firstLineChars="100"/>
                        <w:rPr>
                          <w:rFonts w:hint="default" w:ascii="HG丸ｺﾞｼｯｸM-PRO" w:hAnsi="HG丸ｺﾞｼｯｸM-PRO" w:eastAsia="HG丸ｺﾞｼｯｸM-PRO"/>
                          <w:b w:val="0"/>
                          <w:sz w:val="32"/>
                        </w:rPr>
                      </w:pPr>
                      <w:r>
                        <w:rPr>
                          <w:rFonts w:hint="eastAsia" w:ascii="HG丸ｺﾞｼｯｸM-PRO" w:hAnsi="HG丸ｺﾞｼｯｸM-PRO" w:eastAsia="HG丸ｺﾞｼｯｸM-PRO"/>
                          <w:b w:val="0"/>
                          <w:sz w:val="32"/>
                        </w:rPr>
                        <w:t>この制度は、経年劣化等で倒壊や建築部材の飛散の恐れがある空家等の解体工事を町内業者で行った場合に、補助金を交付するものです。</w:t>
                      </w:r>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0"/>
                          <w:sz w:val="32"/>
                        </w:rPr>
                        <w:t>　補助金を受けるには、いくつか条件がありますので以下をご覧ください。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172720</wp:posOffset>
                </wp:positionH>
                <wp:positionV relativeFrom="paragraph">
                  <wp:posOffset>92075</wp:posOffset>
                </wp:positionV>
                <wp:extent cx="6315710" cy="294513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315710" cy="2945130"/>
                        </a:xfrm>
                        <a:prstGeom prst="rect">
                          <a:avLst/>
                        </a:prstGeom>
                        <a:noFill/>
                        <a:ln>
                          <a:noFill/>
                        </a:ln>
                      </wps:spPr>
                      <wps:txbx>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■補助対象となる空家等は</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・「特定空家等」とされたもの</w:t>
                            </w:r>
                          </w:p>
                          <w:p>
                            <w:pPr>
                              <w:pStyle w:val="0"/>
                              <w:spacing w:line="320" w:lineRule="exact"/>
                              <w:ind w:left="844" w:leftChars="268" w:hanging="281" w:hangingChars="1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特定空家等」とはそのまま放置すれば倒壊等の危険、著しく衛生上有害、著しく景観を損なっている状態、その他周辺の生活環境の保全を図るために放置することが不適切である状態にあると認められる空家等のこと</w:t>
                            </w:r>
                          </w:p>
                          <w:p>
                            <w:pPr>
                              <w:pStyle w:val="0"/>
                              <w:spacing w:line="320" w:lineRule="exact"/>
                              <w:ind w:left="843" w:hanging="843" w:hangingChars="3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※「特定空家等」とされるには、せたな町空家等対策協議会での認定が必要となり、期間を要すので、お早目に役場担当者にご相談ください</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・せたな町内に建設されている空家等</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・せたな町内の許可業者が解体施工すること</w:t>
                            </w:r>
                          </w:p>
                          <w:p>
                            <w:pPr>
                              <w:pStyle w:val="0"/>
                              <w:spacing w:line="320" w:lineRule="exact"/>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b w:val="0"/>
                                <w:sz w:val="28"/>
                              </w:rPr>
                              <w:t>　・</w:t>
                            </w:r>
                            <w:r>
                              <w:rPr>
                                <w:rFonts w:hint="eastAsia" w:ascii="HG丸ｺﾞｼｯｸM-PRO" w:hAnsi="HG丸ｺﾞｼｯｸM-PRO" w:eastAsia="HG丸ｺﾞｼｯｸM-PRO"/>
                                <w:b w:val="0"/>
                                <w:color w:val="000000"/>
                                <w:sz w:val="28"/>
                              </w:rPr>
                              <w:t>補助金交付決定前に着工していないこと</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■その他の注意事項</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・補助は同一人につき１回限りとする</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　・国等及びせたな町から他の助成（補助・補償）金を受けていないもの</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1.9pt;mso-wrap-distance-top:0pt;width:497.3pt;mso-wrap-distance-left:9pt;margin-left:13.6pt;z-index:3;" o:spid="_x0000_s1031" o:allowincell="t" o:allowoverlap="t" filled="f" stroked="f" o:spt="202" type="#_x0000_t202">
                <v:fill/>
                <v:textbox style="layout-flow:horizontal;">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■補助対象となる空家等は</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・「特定空家等」とされたもの</w:t>
                      </w:r>
                    </w:p>
                    <w:p>
                      <w:pPr>
                        <w:pStyle w:val="0"/>
                        <w:spacing w:line="320" w:lineRule="exact"/>
                        <w:ind w:left="844" w:leftChars="268" w:hanging="281" w:hangingChars="1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特定空家等」とはそのまま放置すれば倒壊等の危険、著しく衛生上有害、著しく景観を損なっている状態、その他周辺の生活環境の保全を図るために放置することが不適切である状態にあると認められる空家等のこと</w:t>
                      </w:r>
                    </w:p>
                    <w:p>
                      <w:pPr>
                        <w:pStyle w:val="0"/>
                        <w:spacing w:line="320" w:lineRule="exact"/>
                        <w:ind w:left="843" w:hanging="843" w:hangingChars="3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※「特定空家等」とされるには、せたな町空家等対策協議会での認定が必要となり、期間を要すので、お早目に役場担当者にご相談ください</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・せたな町内に建設されている空家等</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・せたな町内の許可業者が解体施工すること</w:t>
                      </w:r>
                    </w:p>
                    <w:p>
                      <w:pPr>
                        <w:pStyle w:val="0"/>
                        <w:spacing w:line="320" w:lineRule="exact"/>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b w:val="0"/>
                          <w:sz w:val="28"/>
                        </w:rPr>
                        <w:t>　・</w:t>
                      </w:r>
                      <w:r>
                        <w:rPr>
                          <w:rFonts w:hint="eastAsia" w:ascii="HG丸ｺﾞｼｯｸM-PRO" w:hAnsi="HG丸ｺﾞｼｯｸM-PRO" w:eastAsia="HG丸ｺﾞｼｯｸM-PRO"/>
                          <w:b w:val="0"/>
                          <w:color w:val="000000"/>
                          <w:sz w:val="28"/>
                        </w:rPr>
                        <w:t>補助金交付決定前に着工していないこと</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■その他の注意事項</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・補助は同一人につき１回限りとする</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　・国等及びせたな町から他の助成（補助・補償）金を受けていないもの</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179705</wp:posOffset>
                </wp:positionH>
                <wp:positionV relativeFrom="paragraph">
                  <wp:posOffset>236220</wp:posOffset>
                </wp:positionV>
                <wp:extent cx="6365875" cy="2247900"/>
                <wp:effectExtent l="0" t="0" r="635" b="635"/>
                <wp:wrapNone/>
                <wp:docPr id="1032" name="テキスト ボックス 5"/>
                <a:graphic xmlns:a="http://schemas.openxmlformats.org/drawingml/2006/main">
                  <a:graphicData uri="http://schemas.microsoft.com/office/word/2010/wordprocessingShape">
                    <wps:wsp>
                      <wps:cNvPr id="1032" name="テキスト ボックス 5"/>
                      <wps:cNvSpPr txBox="1">
                        <a:spLocks noChangeArrowheads="1"/>
                      </wps:cNvSpPr>
                      <wps:spPr>
                        <a:xfrm>
                          <a:off x="0" y="0"/>
                          <a:ext cx="6365875" cy="2247900"/>
                        </a:xfrm>
                        <a:prstGeom prst="rect">
                          <a:avLst/>
                        </a:prstGeom>
                        <a:noFill/>
                        <a:ln>
                          <a:noFill/>
                        </a:ln>
                      </wps:spPr>
                      <wps:txbx>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■補助金交付の流れ</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①解体内容を役場担当者に相談し、特</w:t>
                            </w:r>
                            <w:bookmarkStart w:id="0" w:name="_GoBack"/>
                            <w:bookmarkEnd w:id="0"/>
                            <w:r>
                              <w:rPr>
                                <w:rFonts w:hint="eastAsia" w:ascii="HG丸ｺﾞｼｯｸM-PRO" w:hAnsi="HG丸ｺﾞｼｯｸM-PRO" w:eastAsia="HG丸ｺﾞｼｯｸM-PRO"/>
                                <w:b w:val="0"/>
                                <w:sz w:val="28"/>
                              </w:rPr>
                              <w:t>定空家等であるかの確認をする</w:t>
                            </w:r>
                          </w:p>
                          <w:p>
                            <w:pPr>
                              <w:pStyle w:val="0"/>
                              <w:spacing w:line="320" w:lineRule="exact"/>
                              <w:ind w:left="562" w:hanging="562" w:hangingChars="2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②特定空家等となる場合</w:t>
                            </w:r>
                            <w:r>
                              <w:rPr>
                                <w:rFonts w:hint="eastAsia" w:ascii="HG丸ｺﾞｼｯｸM-PRO" w:hAnsi="HG丸ｺﾞｼｯｸM-PRO" w:eastAsia="HG丸ｺﾞｼｯｸM-PRO"/>
                                <w:b w:val="0"/>
                                <w:color w:val="000000"/>
                                <w:sz w:val="28"/>
                              </w:rPr>
                              <w:t>、補助金交付申請書と施工</w:t>
                            </w:r>
                            <w:r>
                              <w:rPr>
                                <w:rFonts w:hint="eastAsia" w:ascii="HG丸ｺﾞｼｯｸM-PRO" w:hAnsi="HG丸ｺﾞｼｯｸM-PRO" w:eastAsia="HG丸ｺﾞｼｯｸM-PRO"/>
                                <w:b w:val="0"/>
                                <w:sz w:val="28"/>
                              </w:rPr>
                              <w:t>業者からの見積書、図面、現況写真などの必要書類を役場に提出する</w:t>
                            </w:r>
                          </w:p>
                          <w:p>
                            <w:pPr>
                              <w:pStyle w:val="0"/>
                              <w:spacing w:line="320" w:lineRule="exact"/>
                              <w:ind w:left="562" w:hanging="562" w:hangingChars="2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※相続人や代理人が申請する場合は、必要書類が追加となります</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③内容審査後、補助金交付決定書を受領</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④着工</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⑤工事が完了し、</w:t>
                            </w:r>
                            <w:r>
                              <w:rPr>
                                <w:rFonts w:hint="eastAsia" w:ascii="HG丸ｺﾞｼｯｸM-PRO" w:hAnsi="HG丸ｺﾞｼｯｸM-PRO" w:eastAsia="HG丸ｺﾞｼｯｸM-PRO"/>
                                <w:b w:val="0"/>
                                <w:color w:val="000000"/>
                                <w:sz w:val="28"/>
                              </w:rPr>
                              <w:t>支払終了後</w:t>
                            </w:r>
                            <w:r>
                              <w:rPr>
                                <w:rFonts w:hint="eastAsia" w:ascii="HG丸ｺﾞｼｯｸM-PRO" w:hAnsi="HG丸ｺﾞｼｯｸM-PRO" w:eastAsia="HG丸ｺﾞｼｯｸM-PRO"/>
                                <w:b w:val="0"/>
                                <w:sz w:val="28"/>
                              </w:rPr>
                              <w:t>、速やかに完了報告書を提出</w:t>
                            </w:r>
                          </w:p>
                          <w:p>
                            <w:pPr>
                              <w:pStyle w:val="0"/>
                              <w:spacing w:line="320" w:lineRule="exact"/>
                              <w:ind w:firstLine="281" w:firstLineChars="1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（領収書の写しを添付）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　⑥完了検査後、補助金を受領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8.600000000000001pt;mso-position-vertical-relative:text;mso-position-horizontal-relative:text;v-text-anchor:top;position:absolute;height:177pt;mso-wrap-distance-top:0pt;width:501.25pt;mso-wrap-distance-left:9pt;margin-left:14.15pt;z-index:5;" o:spid="_x0000_s1032" o:allowincell="t" o:allowoverlap="t" filled="f" stroked="f" o:spt="202" type="#_x0000_t202">
                <v:fill/>
                <v:textbox style="layout-flow:horizontal;">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■補助金交付の流れ</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0"/>
                          <w:sz w:val="28"/>
                        </w:rPr>
                        <w:t>①解体内容を役場担当者に相談し、特</w:t>
                      </w:r>
                      <w:bookmarkStart w:id="1" w:name="_GoBack"/>
                      <w:bookmarkEnd w:id="1"/>
                      <w:r>
                        <w:rPr>
                          <w:rFonts w:hint="eastAsia" w:ascii="HG丸ｺﾞｼｯｸM-PRO" w:hAnsi="HG丸ｺﾞｼｯｸM-PRO" w:eastAsia="HG丸ｺﾞｼｯｸM-PRO"/>
                          <w:b w:val="0"/>
                          <w:sz w:val="28"/>
                        </w:rPr>
                        <w:t>定空家等であるかの確認をする</w:t>
                      </w:r>
                    </w:p>
                    <w:p>
                      <w:pPr>
                        <w:pStyle w:val="0"/>
                        <w:spacing w:line="320" w:lineRule="exact"/>
                        <w:ind w:left="562" w:hanging="562" w:hangingChars="2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②特定空家等となる場合</w:t>
                      </w:r>
                      <w:r>
                        <w:rPr>
                          <w:rFonts w:hint="eastAsia" w:ascii="HG丸ｺﾞｼｯｸM-PRO" w:hAnsi="HG丸ｺﾞｼｯｸM-PRO" w:eastAsia="HG丸ｺﾞｼｯｸM-PRO"/>
                          <w:b w:val="0"/>
                          <w:color w:val="000000"/>
                          <w:sz w:val="28"/>
                        </w:rPr>
                        <w:t>、補助金交付申請書と施工</w:t>
                      </w:r>
                      <w:r>
                        <w:rPr>
                          <w:rFonts w:hint="eastAsia" w:ascii="HG丸ｺﾞｼｯｸM-PRO" w:hAnsi="HG丸ｺﾞｼｯｸM-PRO" w:eastAsia="HG丸ｺﾞｼｯｸM-PRO"/>
                          <w:b w:val="0"/>
                          <w:sz w:val="28"/>
                        </w:rPr>
                        <w:t>業者からの見積書、図面、現況写真などの必要書類を役場に提出する</w:t>
                      </w:r>
                    </w:p>
                    <w:p>
                      <w:pPr>
                        <w:pStyle w:val="0"/>
                        <w:spacing w:line="320" w:lineRule="exact"/>
                        <w:ind w:left="562" w:hanging="562" w:hangingChars="2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※相続人や代理人が申請する場合は、必要書類が追加となります</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③内容審査後、補助金交付決定書を受領</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④着工</w:t>
                      </w:r>
                    </w:p>
                    <w:p>
                      <w:pPr>
                        <w:pStyle w:val="0"/>
                        <w:spacing w:line="320" w:lineRule="exact"/>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　⑤工事が完了し、</w:t>
                      </w:r>
                      <w:r>
                        <w:rPr>
                          <w:rFonts w:hint="eastAsia" w:ascii="HG丸ｺﾞｼｯｸM-PRO" w:hAnsi="HG丸ｺﾞｼｯｸM-PRO" w:eastAsia="HG丸ｺﾞｼｯｸM-PRO"/>
                          <w:b w:val="0"/>
                          <w:color w:val="000000"/>
                          <w:sz w:val="28"/>
                        </w:rPr>
                        <w:t>支払終了後</w:t>
                      </w:r>
                      <w:r>
                        <w:rPr>
                          <w:rFonts w:hint="eastAsia" w:ascii="HG丸ｺﾞｼｯｸM-PRO" w:hAnsi="HG丸ｺﾞｼｯｸM-PRO" w:eastAsia="HG丸ｺﾞｼｯｸM-PRO"/>
                          <w:b w:val="0"/>
                          <w:sz w:val="28"/>
                        </w:rPr>
                        <w:t>、速やかに完了報告書を提出</w:t>
                      </w:r>
                    </w:p>
                    <w:p>
                      <w:pPr>
                        <w:pStyle w:val="0"/>
                        <w:spacing w:line="320" w:lineRule="exact"/>
                        <w:ind w:firstLine="281" w:firstLineChars="100"/>
                        <w:rPr>
                          <w:rFonts w:hint="default"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（領収書の写しを添付）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　⑥完了検査後、補助金を受領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988695</wp:posOffset>
                </wp:positionH>
                <wp:positionV relativeFrom="paragraph">
                  <wp:posOffset>122555</wp:posOffset>
                </wp:positionV>
                <wp:extent cx="5102225" cy="818515"/>
                <wp:effectExtent l="635" t="635" r="29845" b="10795"/>
                <wp:wrapNone/>
                <wp:docPr id="1033" name="テキスト ボックス 9"/>
                <a:graphic xmlns:a="http://schemas.openxmlformats.org/drawingml/2006/main">
                  <a:graphicData uri="http://schemas.microsoft.com/office/word/2010/wordprocessingShape">
                    <wps:wsp>
                      <wps:cNvPr id="1033" name="テキスト ボックス 9"/>
                      <wps:cNvSpPr txBox="1"/>
                      <wps:spPr>
                        <a:xfrm>
                          <a:off x="0" y="0"/>
                          <a:ext cx="510222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hd w:val="clear" w:color="auto" w:fill="auto"/>
                              </w:rPr>
                              <w:t>申請窓口</w:t>
                            </w:r>
                            <w:r>
                              <w:rPr>
                                <w:rFonts w:hint="eastAsia" w:ascii="HG丸ｺﾞｼｯｸM-PRO" w:hAnsi="HG丸ｺﾞｼｯｸM-PRO" w:eastAsia="HG丸ｺﾞｼｯｸM-PRO"/>
                              </w:rPr>
                              <w:t>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瀬棚総合支所庶務係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大成総合支所庶務係　　　　　　　　　　　　</w:t>
                            </w:r>
                            <w:r>
                              <w:rPr>
                                <w:rFonts w:hint="eastAsia" w:ascii="HG丸ｺﾞｼｯｸM-PRO" w:hAnsi="HG丸ｺﾞｼｯｸM-PRO" w:eastAsia="HG丸ｺﾞｼｯｸM-PRO"/>
                              </w:rPr>
                              <w:t>01398-4-5511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9.65pt;mso-position-vertical-relative:text;mso-position-horizontal-relative:text;v-text-anchor:top;position:absolute;height:64.45pt;mso-wrap-distance-top:0pt;width:401.75pt;mso-wrap-distance-left:9pt;margin-left:77.84pt;z-index:9;" o:spid="_x0000_s1033" o:allowincell="t" o:allowoverlap="t" filled="t" fillcolor="#ffffff [3201]" stroked="t" strokecolor="#000000" strokeweight="0.5pt" o:spt="202" type="#_x0000_t202">
                <v:fill/>
                <v:stroke filltype="solid"/>
                <v:textbox style="layout-flow:horizontal;">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hd w:val="clear" w:color="auto" w:fill="auto"/>
                        </w:rPr>
                        <w:t>申請窓口</w:t>
                      </w:r>
                      <w:r>
                        <w:rPr>
                          <w:rFonts w:hint="eastAsia" w:ascii="HG丸ｺﾞｼｯｸM-PRO" w:hAnsi="HG丸ｺﾞｼｯｸM-PRO" w:eastAsia="HG丸ｺﾞｼｯｸM-PRO"/>
                        </w:rPr>
                        <w:t>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瀬棚総合支所庶務係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大成総合支所庶務係　　　　　　　　　　　　</w:t>
                      </w:r>
                      <w:r>
                        <w:rPr>
                          <w:rFonts w:hint="eastAsia" w:ascii="HG丸ｺﾞｼｯｸM-PRO" w:hAnsi="HG丸ｺﾞｼｯｸM-PRO" w:eastAsia="HG丸ｺﾞｼｯｸM-PRO"/>
                        </w:rPr>
                        <w:t>01398-4-5511</w:t>
                      </w:r>
                    </w:p>
                  </w:txbxContent>
                </v:textbox>
                <v:imagedata o:title=""/>
                <w10:wrap type="none" anchorx="text" anchory="text"/>
              </v:shape>
            </w:pict>
          </mc:Fallback>
        </mc:AlternateContent>
      </w:r>
    </w:p>
    <w:p>
      <w:pPr>
        <w:pStyle w:val="0"/>
        <w:rPr>
          <w:rFonts w:hint="default"/>
        </w:rPr>
      </w:pPr>
    </w:p>
    <w:p>
      <w:pPr>
        <w:pStyle w:val="0"/>
        <w:ind w:right="840"/>
        <w:rPr>
          <w:rFonts w:hint="default" w:ascii="HG丸ｺﾞｼｯｸM-PRO" w:hAnsi="HG丸ｺﾞｼｯｸM-PRO" w:eastAsia="HG丸ｺﾞｼｯｸM-PR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平成角ｺﾞｼｯｸ体W5P">
    <w:panose1 w:val="00000000000000000000"/>
    <w:charset w:val="80"/>
    <w:family w:val="modern"/>
    <w:notTrueType/>
    <w:pitch w:val="fixed"/>
    <w:sig w:usb0="00000000" w:usb1="00000000" w:usb2="00000000" w:usb3="00000000" w:csb0="00000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平成角ｺﾞｼｯｸ体W5P">
    <w:panose1 w:val="00000800000000000000"/>
    <w:charset w:val="80"/>
    <w:family w:val="moder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0</Characters>
  <Application>JUST Note</Application>
  <Lines>39</Lines>
  <Paragraphs>0</Paragraphs>
  <Company> </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稲船 洋志</dc:creator>
  <cp:lastModifiedBy>松原 孝樹</cp:lastModifiedBy>
  <cp:lastPrinted>2021-03-05T00:57:28Z</cp:lastPrinted>
  <dcterms:created xsi:type="dcterms:W3CDTF">2019-04-08T04:34:00Z</dcterms:created>
  <dcterms:modified xsi:type="dcterms:W3CDTF">2021-03-16T08:05:40Z</dcterms:modified>
  <cp:revision>7</cp:revision>
</cp:coreProperties>
</file>